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0F4" w:rsidRDefault="00BE658D">
      <w:pPr>
        <w:widowControl/>
        <w:pBdr>
          <w:top w:val="nil"/>
          <w:left w:val="nil"/>
          <w:bottom w:val="nil"/>
          <w:right w:val="nil"/>
          <w:between w:val="nil"/>
        </w:pBdr>
        <w:spacing w:before="240" w:after="120"/>
        <w:ind w:hanging="426"/>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Framework Schedule 7 (Call-Off Award Procedure</w:t>
      </w:r>
      <w:bookmarkStart w:id="1" w:name="bookmark=id.gjdgxs" w:colFirst="0" w:colLast="0"/>
      <w:bookmarkEnd w:id="1"/>
      <w:r>
        <w:rPr>
          <w:rFonts w:ascii="Arial" w:eastAsia="Arial" w:hAnsi="Arial" w:cs="Arial"/>
          <w:b/>
          <w:color w:val="000000"/>
          <w:sz w:val="36"/>
          <w:szCs w:val="36"/>
        </w:rPr>
        <w:t xml:space="preserve">) </w:t>
      </w:r>
    </w:p>
    <w:p w:rsidR="003450F4" w:rsidRDefault="00BE658D">
      <w:pPr>
        <w:widowControl/>
        <w:pBdr>
          <w:top w:val="nil"/>
          <w:left w:val="nil"/>
          <w:bottom w:val="nil"/>
          <w:right w:val="nil"/>
          <w:between w:val="nil"/>
        </w:pBdr>
        <w:spacing w:before="240" w:after="120"/>
        <w:ind w:hanging="426"/>
        <w:rPr>
          <w:rFonts w:ascii="Arial" w:eastAsia="Arial" w:hAnsi="Arial" w:cs="Arial"/>
          <w:b/>
          <w:color w:val="000000"/>
          <w:sz w:val="36"/>
          <w:szCs w:val="36"/>
        </w:rPr>
      </w:pPr>
      <w:r>
        <w:rPr>
          <w:rFonts w:ascii="Arial" w:eastAsia="Arial" w:hAnsi="Arial" w:cs="Arial"/>
          <w:b/>
          <w:color w:val="000000"/>
          <w:sz w:val="36"/>
          <w:szCs w:val="36"/>
        </w:rPr>
        <w:t>Part 1: Order Procedure</w:t>
      </w:r>
    </w:p>
    <w:p w:rsidR="003450F4" w:rsidRDefault="00BE658D">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3450F4" w:rsidRDefault="00BE658D">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3450F4" w:rsidRDefault="00BE658D">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 not laid down in this Contract and the potential Buyer:</w:t>
      </w:r>
    </w:p>
    <w:p w:rsidR="003450F4" w:rsidRDefault="00BE658D">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3450F4" w:rsidRDefault="00BE658D">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Fra</w:t>
      </w:r>
      <w:r>
        <w:rPr>
          <w:rFonts w:ascii="Arial" w:eastAsia="Arial" w:hAnsi="Arial" w:cs="Arial"/>
          <w:color w:val="000000"/>
          <w:sz w:val="24"/>
          <w:szCs w:val="24"/>
        </w:rPr>
        <w:t>mework Contract to reflect its Deliverables to the extent permitted by and in accordance with the Regulations;</w:t>
      </w:r>
    </w:p>
    <w:p w:rsidR="003450F4" w:rsidRDefault="00BE658D">
      <w:pPr>
        <w:widowControl/>
        <w:pBdr>
          <w:top w:val="nil"/>
          <w:left w:val="nil"/>
          <w:bottom w:val="nil"/>
          <w:right w:val="nil"/>
          <w:between w:val="nil"/>
        </w:pBdr>
        <w:tabs>
          <w:tab w:val="left" w:pos="4536"/>
        </w:tabs>
        <w:spacing w:after="220"/>
        <w:ind w:left="900" w:hanging="1134"/>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Further Competition Procedure set out in Paragraph 3 below.</w:t>
      </w:r>
    </w:p>
    <w:p w:rsidR="003450F4" w:rsidRDefault="00BE658D">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How a direct </w:t>
      </w:r>
      <w:r>
        <w:rPr>
          <w:rFonts w:ascii="Arial Bold" w:eastAsia="Arial Bold" w:hAnsi="Arial Bold" w:cs="Arial Bold"/>
          <w:b/>
          <w:sz w:val="24"/>
          <w:szCs w:val="24"/>
        </w:rPr>
        <w:t>order</w:t>
      </w:r>
      <w:r>
        <w:rPr>
          <w:rFonts w:ascii="Arial Bold" w:eastAsia="Arial Bold" w:hAnsi="Arial Bold" w:cs="Arial Bold"/>
          <w:b/>
          <w:color w:val="000000"/>
          <w:sz w:val="24"/>
          <w:szCs w:val="24"/>
        </w:rPr>
        <w:t xml:space="preserve"> works</w:t>
      </w:r>
    </w:p>
    <w:p w:rsidR="003450F4" w:rsidRDefault="00BE658D">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sz w:val="24"/>
          <w:szCs w:val="24"/>
        </w:rPr>
        <w:t>Not Used</w:t>
      </w:r>
    </w:p>
    <w:p w:rsidR="003450F4" w:rsidRDefault="003450F4">
      <w:pPr>
        <w:widowControl/>
        <w:pBdr>
          <w:top w:val="nil"/>
          <w:left w:val="nil"/>
          <w:bottom w:val="nil"/>
          <w:right w:val="nil"/>
          <w:between w:val="nil"/>
        </w:pBdr>
        <w:tabs>
          <w:tab w:val="left" w:pos="3641"/>
        </w:tabs>
        <w:spacing w:before="120" w:after="120"/>
        <w:ind w:left="1985" w:hanging="1656"/>
        <w:rPr>
          <w:rFonts w:ascii="Arial" w:eastAsia="Arial" w:hAnsi="Arial" w:cs="Arial"/>
          <w:color w:val="000000"/>
          <w:sz w:val="24"/>
          <w:szCs w:val="24"/>
        </w:rPr>
      </w:pPr>
    </w:p>
    <w:p w:rsidR="003450F4" w:rsidRDefault="00BE658D">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rsidR="003450F4" w:rsidRDefault="00BE658D">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3450F4" w:rsidRDefault="00BE658D">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rsidR="003450F4" w:rsidRDefault="00BE658D">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develop a Statement of Requirements setting out its requirements for the Deliverables and identify the Suppliers capable of supplying the them;</w:t>
      </w:r>
    </w:p>
    <w:p w:rsidR="003450F4" w:rsidRDefault="00BE658D">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amend or refine the Deliverables to reflect its requirements by using the Order Form only to the extent permitte</w:t>
      </w:r>
      <w:r>
        <w:rPr>
          <w:rFonts w:ascii="Arial" w:eastAsia="Arial" w:hAnsi="Arial" w:cs="Arial"/>
          <w:color w:val="000000"/>
          <w:sz w:val="24"/>
          <w:szCs w:val="24"/>
        </w:rPr>
        <w:t>d by and in accordance with the requirements of the Regulations;</w:t>
      </w:r>
    </w:p>
    <w:p w:rsidR="003450F4" w:rsidRDefault="00BE658D">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invite tenders by conducting a Further Competition Procedure for its Deliverables in accordance with the Regulations and in particular:</w:t>
      </w:r>
    </w:p>
    <w:p w:rsidR="003450F4" w:rsidRDefault="00BE658D">
      <w:pPr>
        <w:keepNext/>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the Buyer shall:</w:t>
      </w:r>
    </w:p>
    <w:p w:rsidR="003450F4" w:rsidRDefault="00BE658D">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bookmarkStart w:id="6" w:name="_heading=h.1fob9te" w:colFirst="0" w:colLast="0"/>
      <w:bookmarkEnd w:id="6"/>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rsidR="003450F4" w:rsidRDefault="00BE658D">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lastRenderedPageBreak/>
        <w:t xml:space="preserve">set a time limit </w:t>
      </w:r>
      <w:r>
        <w:rPr>
          <w:rFonts w:ascii="Arial" w:eastAsia="Arial" w:hAnsi="Arial" w:cs="Arial"/>
          <w:color w:val="000000"/>
          <w:sz w:val="24"/>
          <w:szCs w:val="24"/>
        </w:rPr>
        <w:t>for the receipt by it of the tenders which takes into account factors such as the complexity of the subject matter of the proposed Call-Off Contract and the time needed to submit tenders; and</w:t>
      </w:r>
    </w:p>
    <w:p w:rsidR="003450F4" w:rsidRDefault="00BE658D">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w:t>
      </w:r>
      <w:r>
        <w:rPr>
          <w:rFonts w:ascii="Arial" w:eastAsia="Arial" w:hAnsi="Arial" w:cs="Arial"/>
          <w:color w:val="000000"/>
          <w:sz w:val="24"/>
          <w:szCs w:val="24"/>
        </w:rPr>
        <w:t>he return of tenders has expired.</w:t>
      </w:r>
    </w:p>
    <w:p w:rsidR="003450F4" w:rsidRDefault="00BE658D">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3450F4" w:rsidRDefault="00BE658D">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its Call-Off Contract to the successful Supplier in accordance with Paragraph 6. The Call-Off Contract shall:</w:t>
      </w:r>
    </w:p>
    <w:p w:rsidR="003450F4" w:rsidRDefault="00BE658D">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rsidR="003450F4" w:rsidRDefault="00BE658D">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3450F4" w:rsidRDefault="00BE658D">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charges payable for the</w:t>
      </w:r>
      <w:r>
        <w:rPr>
          <w:rFonts w:ascii="Arial" w:eastAsia="Arial" w:hAnsi="Arial" w:cs="Arial"/>
          <w:color w:val="000000"/>
          <w:sz w:val="24"/>
          <w:szCs w:val="24"/>
        </w:rPr>
        <w:t xml:space="preserve"> Deliverables in accordance with the tender submitted by the successful Supplier; and</w:t>
      </w:r>
    </w:p>
    <w:p w:rsidR="003450F4" w:rsidRDefault="00BE658D">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above) applicable to the Deliverables,</w:t>
      </w:r>
    </w:p>
    <w:p w:rsidR="003450F4" w:rsidRDefault="00BE658D">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rsidR="003450F4" w:rsidRDefault="00BE658D">
      <w:pPr>
        <w:keepNext/>
        <w:widowControl/>
        <w:pBdr>
          <w:top w:val="nil"/>
          <w:left w:val="nil"/>
          <w:bottom w:val="nil"/>
          <w:right w:val="nil"/>
          <w:between w:val="nil"/>
        </w:pBdr>
        <w:tabs>
          <w:tab w:val="left" w:pos="3054"/>
        </w:tabs>
        <w:spacing w:before="120" w:after="120"/>
        <w:ind w:hanging="1134"/>
        <w:rPr>
          <w:rFonts w:ascii="Arial" w:eastAsia="Arial" w:hAnsi="Arial" w:cs="Arial"/>
          <w:b/>
          <w:sz w:val="24"/>
          <w:szCs w:val="24"/>
        </w:rPr>
      </w:pPr>
      <w:r>
        <w:rPr>
          <w:rFonts w:ascii="Arial" w:eastAsia="Arial" w:hAnsi="Arial" w:cs="Arial"/>
          <w:b/>
          <w:sz w:val="24"/>
          <w:szCs w:val="24"/>
        </w:rPr>
        <w:tab/>
        <w:t>What the Supplier has to do</w:t>
      </w:r>
    </w:p>
    <w:p w:rsidR="003450F4" w:rsidRDefault="00BE658D">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in writing, by the time and date by the time and date specified by the Buyer following an invitation to tender pursuant to Paragraph 3.1.3 above, provide CCS and the Buyer with either:</w:t>
      </w:r>
    </w:p>
    <w:p w:rsidR="003450F4" w:rsidRDefault="00BE658D">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w:t>
      </w:r>
      <w:r>
        <w:rPr>
          <w:rFonts w:ascii="Arial" w:eastAsia="Arial" w:hAnsi="Arial" w:cs="Arial"/>
          <w:color w:val="000000"/>
          <w:sz w:val="24"/>
          <w:szCs w:val="24"/>
        </w:rPr>
        <w:t>ender in relation to the Deliverables; or</w:t>
      </w:r>
    </w:p>
    <w:p w:rsidR="003450F4" w:rsidRDefault="00BE658D">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rsidR="003450F4" w:rsidRDefault="00BE658D">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3450F4" w:rsidRDefault="00BE658D">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w:t>
      </w:r>
      <w:r>
        <w:rPr>
          <w:rFonts w:ascii="Arial" w:eastAsia="Arial" w:hAnsi="Arial" w:cs="Arial"/>
          <w:color w:val="000000"/>
          <w:sz w:val="24"/>
          <w:szCs w:val="24"/>
        </w:rPr>
        <w:t>rements;</w:t>
      </w:r>
    </w:p>
    <w:p w:rsidR="003450F4" w:rsidRDefault="00BE658D">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3450F4" w:rsidRDefault="00BE658D">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3450F4" w:rsidRDefault="00BE658D">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lastRenderedPageBreak/>
        <w:t>confirmation of discounts applicable to the Deliverables, as ref</w:t>
      </w:r>
      <w:r>
        <w:rPr>
          <w:rFonts w:ascii="Arial" w:eastAsia="Arial" w:hAnsi="Arial" w:cs="Arial"/>
          <w:color w:val="000000"/>
          <w:sz w:val="24"/>
          <w:szCs w:val="24"/>
        </w:rPr>
        <w:t>erenced in Framework Schedule 3 (Framework Prices) (if applicable).</w:t>
      </w:r>
    </w:p>
    <w:p w:rsidR="003450F4" w:rsidRDefault="00BE658D">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ensure that any prices submitted in relation to a Further Competition Procedure held pursuant to this Paragraph 3 shall be based on the Charging Structure and take into </w:t>
      </w:r>
      <w:r>
        <w:rPr>
          <w:rFonts w:ascii="Arial" w:eastAsia="Arial" w:hAnsi="Arial" w:cs="Arial"/>
          <w:color w:val="000000"/>
          <w:sz w:val="24"/>
          <w:szCs w:val="24"/>
        </w:rPr>
        <w:t>account any discount to which the Buyer may be entitled as set out in Framework Schedule 3 (Framework Prices).</w:t>
      </w:r>
    </w:p>
    <w:p w:rsidR="003450F4" w:rsidRDefault="00BE658D">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rsidR="003450F4" w:rsidRDefault="00BE658D">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w:t>
      </w:r>
      <w:r>
        <w:rPr>
          <w:rFonts w:ascii="Arial" w:eastAsia="Arial" w:hAnsi="Arial" w:cs="Arial"/>
          <w:color w:val="000000"/>
          <w:sz w:val="24"/>
          <w:szCs w:val="24"/>
        </w:rPr>
        <w:t>sued by the Buyer in accordance with the Call-Off Procedure); and</w:t>
      </w:r>
    </w:p>
    <w:p w:rsidR="003450F4" w:rsidRDefault="00BE658D">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w:t>
      </w:r>
      <w:r>
        <w:rPr>
          <w:rFonts w:ascii="Arial" w:eastAsia="Arial" w:hAnsi="Arial" w:cs="Arial"/>
          <w:color w:val="000000"/>
          <w:sz w:val="24"/>
          <w:szCs w:val="24"/>
        </w:rPr>
        <w:t>ordance with any agreement or arrangement with any other person. The Supplier certifies that it has not and undertakes that it will not:</w:t>
      </w:r>
    </w:p>
    <w:p w:rsidR="003450F4" w:rsidRDefault="00BE658D">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communicate to any person other than the person inviting these tenders the amount or approximate amount of the tender, </w:t>
      </w:r>
      <w:r>
        <w:rPr>
          <w:rFonts w:ascii="Arial" w:eastAsia="Arial" w:hAnsi="Arial" w:cs="Arial"/>
          <w:color w:val="000000"/>
          <w:sz w:val="24"/>
          <w:szCs w:val="24"/>
        </w:rPr>
        <w:t>except where the disclosure, in confidence, of the approximate amount of the tender was necessary to obtain quotations required for the preparation of the tender; and</w:t>
      </w:r>
    </w:p>
    <w:p w:rsidR="003450F4" w:rsidRDefault="00BE658D">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w:t>
      </w:r>
      <w:r>
        <w:rPr>
          <w:rFonts w:ascii="Arial" w:eastAsia="Arial" w:hAnsi="Arial" w:cs="Arial"/>
          <w:color w:val="000000"/>
          <w:sz w:val="24"/>
          <w:szCs w:val="24"/>
        </w:rPr>
        <w:t>(s) shall refrain from submitting a tender or as to the amount of any tenders to be submitted.</w:t>
      </w:r>
    </w:p>
    <w:p w:rsidR="003450F4" w:rsidRDefault="00BE658D">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3450F4" w:rsidRDefault="00BE658D">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below in para 7, the Supplier acknowledges and agrees that the Buyer shall be entitled at all times to decline to make an award for its Deliverables and tha</w:t>
      </w:r>
      <w:r>
        <w:rPr>
          <w:rFonts w:ascii="Arial" w:eastAsia="Arial" w:hAnsi="Arial" w:cs="Arial"/>
          <w:color w:val="000000"/>
          <w:sz w:val="24"/>
          <w:szCs w:val="24"/>
        </w:rPr>
        <w:t>t nothing in this Contract shall oblige the Buyer to award any Call-Off Contract.</w:t>
      </w:r>
    </w:p>
    <w:p w:rsidR="003450F4" w:rsidRDefault="00BE658D">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rsidR="003450F4" w:rsidRDefault="00BE658D">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acknowledges that the Buyer is independently responsible for the conduct of its award of Call-Off Contracts under this Contract </w:t>
      </w:r>
      <w:r>
        <w:rPr>
          <w:rFonts w:ascii="Arial" w:eastAsia="Arial" w:hAnsi="Arial" w:cs="Arial"/>
          <w:color w:val="000000"/>
          <w:sz w:val="24"/>
          <w:szCs w:val="24"/>
        </w:rPr>
        <w:t>and that CCS is not responsible or accountable for and shall have no liability whatsoever, except where it is the Buyer, in relation to:</w:t>
      </w:r>
    </w:p>
    <w:p w:rsidR="003450F4" w:rsidRDefault="00BE658D">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3450F4" w:rsidRDefault="00BE658D">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performance or non-performance of any Call-Off Contracts betw</w:t>
      </w:r>
      <w:r>
        <w:rPr>
          <w:rFonts w:ascii="Arial" w:eastAsia="Arial" w:hAnsi="Arial" w:cs="Arial"/>
          <w:color w:val="000000"/>
          <w:sz w:val="24"/>
          <w:szCs w:val="24"/>
        </w:rPr>
        <w:t>een the Supplier and Buyer entered into pursuant to this Contract.</w:t>
      </w:r>
    </w:p>
    <w:p w:rsidR="003450F4" w:rsidRDefault="00BE658D">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rsidR="003450F4" w:rsidRDefault="00BE658D">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Subject to Paragraphs 1 to 5 above, a Buyer may award a Call-Off Contract with the Supplier by sending (including electronically) a signed order fo</w:t>
      </w:r>
      <w:r>
        <w:rPr>
          <w:rFonts w:ascii="Arial" w:eastAsia="Arial" w:hAnsi="Arial" w:cs="Arial"/>
          <w:color w:val="000000"/>
          <w:sz w:val="24"/>
          <w:szCs w:val="24"/>
        </w:rPr>
        <w:t>rm substantially in the form (as may be amended or refined by the Buyer in accordance with Paragraph 3.1.2 above) of the Order Form Template set out in Framework Schedule 6 (Order Form Template and Call-Off Schedules).</w:t>
      </w:r>
    </w:p>
    <w:p w:rsidR="003450F4" w:rsidRDefault="00BE658D">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w:t>
      </w:r>
      <w:r>
        <w:rPr>
          <w:rFonts w:ascii="Arial" w:eastAsia="Arial" w:hAnsi="Arial" w:cs="Arial"/>
          <w:color w:val="000000"/>
          <w:sz w:val="24"/>
          <w:szCs w:val="24"/>
        </w:rPr>
        <w:t>r communication (including any document or communication in the apparent form of a Call-Off Contract) which is not as described in this Paragraph 6 shall not constitute a Call-Off Contract under this Contract.</w:t>
      </w:r>
    </w:p>
    <w:p w:rsidR="003450F4" w:rsidRDefault="00BE658D">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On receipt of an order form as described in Pa</w:t>
      </w:r>
      <w:r>
        <w:rPr>
          <w:rFonts w:ascii="Arial" w:eastAsia="Arial" w:hAnsi="Arial" w:cs="Arial"/>
          <w:color w:val="000000"/>
          <w:sz w:val="24"/>
          <w:szCs w:val="24"/>
        </w:rPr>
        <w:t>ragraph 6.1 from a Buyer the Supplier shall accept the Call-Off Contract by promptly signing and returning (including by electronic means) a copy of the order form to the Buyer concerned.</w:t>
      </w:r>
    </w:p>
    <w:p w:rsidR="003450F4" w:rsidRDefault="00BE658D">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w:t>
      </w:r>
      <w:r>
        <w:rPr>
          <w:rFonts w:ascii="Arial" w:eastAsia="Arial" w:hAnsi="Arial" w:cs="Arial"/>
          <w:color w:val="000000"/>
          <w:sz w:val="24"/>
          <w:szCs w:val="24"/>
        </w:rPr>
        <w:t>ff Start Date stated in the Order Form.</w:t>
      </w:r>
    </w:p>
    <w:p w:rsidR="003450F4" w:rsidRDefault="00BE658D">
      <w:pPr>
        <w:widowControl/>
        <w:numPr>
          <w:ilvl w:val="0"/>
          <w:numId w:val="2"/>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b/>
          <w:sz w:val="24"/>
          <w:szCs w:val="24"/>
        </w:rPr>
        <w:t>Direct ordering without a Further Competition Procedure</w:t>
      </w:r>
    </w:p>
    <w:p w:rsidR="003450F4" w:rsidRDefault="00BE658D">
      <w:pPr>
        <w:widowControl/>
        <w:numPr>
          <w:ilvl w:val="1"/>
          <w:numId w:val="2"/>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sz w:val="24"/>
          <w:szCs w:val="24"/>
        </w:rPr>
        <w:t>Where the Buyer is HM Treasury or a member of HM Treasury Group or the Bank of England, it may award a Call Off Agreement in accordance with the procedure set o</w:t>
      </w:r>
      <w:r>
        <w:rPr>
          <w:rFonts w:ascii="Arial" w:eastAsia="Arial" w:hAnsi="Arial" w:cs="Arial"/>
          <w:sz w:val="24"/>
          <w:szCs w:val="24"/>
        </w:rPr>
        <w:t xml:space="preserve">ut in this paragraph 7 where it has determined (in its entire discretion) in the context of the proposed Call Off Agreement that: </w:t>
      </w:r>
    </w:p>
    <w:p w:rsidR="003450F4" w:rsidRDefault="00BE658D">
      <w:pPr>
        <w:widowControl/>
        <w:numPr>
          <w:ilvl w:val="2"/>
          <w:numId w:val="2"/>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sz w:val="24"/>
          <w:szCs w:val="24"/>
        </w:rPr>
        <w:t>its Services Requirements can be met by the Framework Contract Suppliers’ catalogues and the description of the Services as s</w:t>
      </w:r>
      <w:r>
        <w:rPr>
          <w:rFonts w:ascii="Arial" w:eastAsia="Arial" w:hAnsi="Arial" w:cs="Arial"/>
          <w:sz w:val="24"/>
          <w:szCs w:val="24"/>
        </w:rPr>
        <w:t xml:space="preserve">et out in Framework Schedule 1 (Specification); and </w:t>
      </w:r>
    </w:p>
    <w:p w:rsidR="003450F4" w:rsidRDefault="00BE658D">
      <w:pPr>
        <w:widowControl/>
        <w:numPr>
          <w:ilvl w:val="2"/>
          <w:numId w:val="2"/>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sz w:val="24"/>
          <w:szCs w:val="24"/>
        </w:rPr>
        <w:t>For HM Treasury or a member of HM Treasury Group:</w:t>
      </w:r>
    </w:p>
    <w:p w:rsidR="003450F4" w:rsidRDefault="00BE658D">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sz w:val="24"/>
          <w:szCs w:val="24"/>
        </w:rPr>
        <w:t xml:space="preserve">there is a Material Risk to the UK financial system as a whole or to the financial stability of the UK; and </w:t>
      </w:r>
    </w:p>
    <w:p w:rsidR="003450F4" w:rsidRDefault="00BE658D">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sz w:val="24"/>
          <w:szCs w:val="24"/>
        </w:rPr>
        <w:t xml:space="preserve">the Buyer requires specialised niche corporate finance advice to advise, develop, and if necessary, implement options (including market interventions) to avoid or mitigate the Material Risk; and </w:t>
      </w:r>
    </w:p>
    <w:p w:rsidR="003450F4" w:rsidRDefault="00BE658D">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bookmarkStart w:id="9" w:name="_heading=h.gjdgxs" w:colFirst="0" w:colLast="0"/>
      <w:bookmarkEnd w:id="9"/>
      <w:r>
        <w:rPr>
          <w:rFonts w:ascii="Arial" w:eastAsia="Arial" w:hAnsi="Arial" w:cs="Arial"/>
          <w:sz w:val="24"/>
          <w:szCs w:val="24"/>
        </w:rPr>
        <w:t>the nature of the Material Risk (and thereby the Services Re</w:t>
      </w:r>
      <w:r>
        <w:rPr>
          <w:rFonts w:ascii="Arial" w:eastAsia="Arial" w:hAnsi="Arial" w:cs="Arial"/>
          <w:sz w:val="24"/>
          <w:szCs w:val="24"/>
        </w:rPr>
        <w:t>quirements) is such that the information likely to be disclosed to potential providers during a Further Competition Procedure might increase the potential impact of the risk and/or or impair the range or effectiveness of the options available to address th</w:t>
      </w:r>
      <w:r>
        <w:rPr>
          <w:rFonts w:ascii="Arial" w:eastAsia="Arial" w:hAnsi="Arial" w:cs="Arial"/>
          <w:sz w:val="24"/>
          <w:szCs w:val="24"/>
        </w:rPr>
        <w:t xml:space="preserve">e risk. </w:t>
      </w:r>
    </w:p>
    <w:p w:rsidR="003450F4" w:rsidRDefault="00BE658D">
      <w:pPr>
        <w:widowControl/>
        <w:numPr>
          <w:ilvl w:val="2"/>
          <w:numId w:val="2"/>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sz w:val="24"/>
          <w:szCs w:val="24"/>
        </w:rPr>
        <w:lastRenderedPageBreak/>
        <w:t>For the Bank of England to utilise a direct order the following must be met:</w:t>
      </w:r>
    </w:p>
    <w:p w:rsidR="003450F4" w:rsidRDefault="00BE658D">
      <w:pPr>
        <w:widowControl/>
        <w:numPr>
          <w:ilvl w:val="3"/>
          <w:numId w:val="2"/>
        </w:numPr>
        <w:tabs>
          <w:tab w:val="left" w:pos="3054"/>
        </w:tabs>
        <w:spacing w:before="240" w:after="240"/>
        <w:rPr>
          <w:rFonts w:ascii="Arial" w:eastAsia="Arial" w:hAnsi="Arial" w:cs="Arial"/>
        </w:rPr>
      </w:pPr>
      <w:r>
        <w:rPr>
          <w:rFonts w:ascii="Arial" w:eastAsia="Arial" w:hAnsi="Arial" w:cs="Arial"/>
          <w:sz w:val="24"/>
          <w:szCs w:val="24"/>
        </w:rPr>
        <w:t>the Bank of England considers there is a reasonable risk that it may have to make a mandatory reduction instrument and/or exercise a stabilisation power in relation to a financial institution [in accordance with section 6B(1) and/or section 1(4) of the Ban</w:t>
      </w:r>
      <w:r>
        <w:rPr>
          <w:rFonts w:ascii="Arial" w:eastAsia="Arial" w:hAnsi="Arial" w:cs="Arial"/>
          <w:sz w:val="24"/>
          <w:szCs w:val="24"/>
        </w:rPr>
        <w:t>king Act 2009]); and</w:t>
      </w:r>
    </w:p>
    <w:p w:rsidR="003450F4" w:rsidRDefault="00BE658D">
      <w:pPr>
        <w:widowControl/>
        <w:numPr>
          <w:ilvl w:val="3"/>
          <w:numId w:val="2"/>
        </w:numPr>
        <w:tabs>
          <w:tab w:val="left" w:pos="3054"/>
        </w:tabs>
        <w:spacing w:before="120"/>
        <w:jc w:val="both"/>
        <w:rPr>
          <w:rFonts w:ascii="Arial" w:eastAsia="Arial" w:hAnsi="Arial" w:cs="Arial"/>
        </w:rPr>
      </w:pPr>
      <w:r>
        <w:rPr>
          <w:rFonts w:ascii="Arial" w:eastAsia="Arial" w:hAnsi="Arial" w:cs="Arial"/>
          <w:sz w:val="24"/>
          <w:szCs w:val="24"/>
        </w:rPr>
        <w:t>the risk is likely to materialise in the immediate or very short term (or it has already materialised and there is a risk of contagion); and</w:t>
      </w:r>
    </w:p>
    <w:p w:rsidR="003450F4" w:rsidRDefault="00BE658D">
      <w:pPr>
        <w:widowControl/>
        <w:numPr>
          <w:ilvl w:val="3"/>
          <w:numId w:val="2"/>
        </w:numPr>
        <w:tabs>
          <w:tab w:val="left" w:pos="3054"/>
        </w:tabs>
        <w:spacing w:before="120"/>
        <w:jc w:val="both"/>
        <w:rPr>
          <w:rFonts w:ascii="Arial" w:eastAsia="Arial" w:hAnsi="Arial" w:cs="Arial"/>
        </w:rPr>
      </w:pPr>
      <w:r>
        <w:rPr>
          <w:rFonts w:ascii="Arial" w:eastAsia="Arial" w:hAnsi="Arial" w:cs="Arial"/>
        </w:rPr>
        <w:t xml:space="preserve">the </w:t>
      </w:r>
      <w:r>
        <w:rPr>
          <w:rFonts w:ascii="Arial" w:eastAsia="Arial" w:hAnsi="Arial" w:cs="Arial"/>
          <w:sz w:val="24"/>
          <w:szCs w:val="24"/>
        </w:rPr>
        <w:t>Bank of England has the responsibility and legal capacity to intervene to address the risk</w:t>
      </w:r>
      <w:r>
        <w:rPr>
          <w:rFonts w:ascii="Arial" w:eastAsia="Arial" w:hAnsi="Arial" w:cs="Arial"/>
          <w:sz w:val="24"/>
          <w:szCs w:val="24"/>
        </w:rPr>
        <w:t>; and</w:t>
      </w:r>
    </w:p>
    <w:p w:rsidR="003450F4" w:rsidRDefault="00BE658D">
      <w:pPr>
        <w:widowControl/>
        <w:numPr>
          <w:ilvl w:val="3"/>
          <w:numId w:val="2"/>
        </w:numPr>
        <w:tabs>
          <w:tab w:val="left" w:pos="3054"/>
        </w:tabs>
        <w:spacing w:before="120"/>
        <w:jc w:val="both"/>
        <w:rPr>
          <w:rFonts w:ascii="Arial" w:eastAsia="Arial" w:hAnsi="Arial" w:cs="Arial"/>
        </w:rPr>
      </w:pPr>
      <w:r>
        <w:rPr>
          <w:rFonts w:ascii="Arial" w:eastAsia="Arial" w:hAnsi="Arial" w:cs="Arial"/>
          <w:sz w:val="24"/>
          <w:szCs w:val="24"/>
        </w:rPr>
        <w:t>the Bank of England requires highly specialised niche corporate finance advice in relation to its resolution responsibilities in accordance with the Banking Act 2009; and</w:t>
      </w:r>
    </w:p>
    <w:p w:rsidR="003450F4" w:rsidRDefault="00BE658D">
      <w:pPr>
        <w:widowControl/>
        <w:numPr>
          <w:ilvl w:val="3"/>
          <w:numId w:val="2"/>
        </w:numPr>
        <w:tabs>
          <w:tab w:val="left" w:pos="3054"/>
        </w:tabs>
        <w:spacing w:before="120"/>
        <w:jc w:val="both"/>
        <w:rPr>
          <w:rFonts w:ascii="Arial" w:eastAsia="Arial" w:hAnsi="Arial" w:cs="Arial"/>
        </w:rPr>
      </w:pPr>
      <w:r>
        <w:rPr>
          <w:rFonts w:ascii="Arial" w:eastAsia="Arial" w:hAnsi="Arial" w:cs="Arial"/>
          <w:sz w:val="24"/>
          <w:szCs w:val="24"/>
        </w:rPr>
        <w:t>because of the nature of the risk (and thereby the subject matter of the procur</w:t>
      </w:r>
      <w:r>
        <w:rPr>
          <w:rFonts w:ascii="Arial" w:eastAsia="Arial" w:hAnsi="Arial" w:cs="Arial"/>
          <w:sz w:val="24"/>
          <w:szCs w:val="24"/>
        </w:rPr>
        <w:t xml:space="preserve">ement), the information which would be disclosed to potential providers during a Further Competition Procedure might increase the potential impact of the risk or impair the range or effectiveness of the options to address the risk. </w:t>
      </w:r>
    </w:p>
    <w:p w:rsidR="003450F4" w:rsidRDefault="00BE658D">
      <w:pPr>
        <w:widowControl/>
        <w:numPr>
          <w:ilvl w:val="1"/>
          <w:numId w:val="2"/>
        </w:numPr>
        <w:tabs>
          <w:tab w:val="left" w:pos="3054"/>
        </w:tabs>
        <w:spacing w:before="120"/>
        <w:jc w:val="both"/>
        <w:rPr>
          <w:rFonts w:ascii="Arial" w:eastAsia="Arial" w:hAnsi="Arial" w:cs="Arial"/>
          <w:sz w:val="24"/>
          <w:szCs w:val="24"/>
        </w:rPr>
      </w:pPr>
      <w:r>
        <w:rPr>
          <w:rFonts w:ascii="Arial" w:eastAsia="Arial" w:hAnsi="Arial" w:cs="Arial"/>
          <w:sz w:val="24"/>
          <w:szCs w:val="24"/>
        </w:rPr>
        <w:t>This paragraph 7 may no</w:t>
      </w:r>
      <w:r>
        <w:rPr>
          <w:rFonts w:ascii="Arial" w:eastAsia="Arial" w:hAnsi="Arial" w:cs="Arial"/>
          <w:sz w:val="24"/>
          <w:szCs w:val="24"/>
        </w:rPr>
        <w:t xml:space="preserve">t be used except in the circumstances set out in paragraph 7.1 above. In these circumstances this paragraph 7 prevails over paragraph 1.2 above. </w:t>
      </w:r>
    </w:p>
    <w:p w:rsidR="003450F4" w:rsidRDefault="00BE658D">
      <w:pPr>
        <w:widowControl/>
        <w:numPr>
          <w:ilvl w:val="1"/>
          <w:numId w:val="2"/>
        </w:numPr>
        <w:tabs>
          <w:tab w:val="left" w:pos="3054"/>
        </w:tabs>
        <w:spacing w:before="120"/>
        <w:jc w:val="both"/>
        <w:rPr>
          <w:rFonts w:ascii="Arial" w:eastAsia="Arial" w:hAnsi="Arial" w:cs="Arial"/>
          <w:sz w:val="24"/>
          <w:szCs w:val="24"/>
        </w:rPr>
      </w:pPr>
      <w:r>
        <w:rPr>
          <w:rFonts w:ascii="Arial" w:eastAsia="Arial" w:hAnsi="Arial" w:cs="Arial"/>
          <w:sz w:val="24"/>
          <w:szCs w:val="24"/>
        </w:rPr>
        <w:t xml:space="preserve">A Buyer awarding a Call Off Agreement without holding a Further Competition Procedure pursuant to this paragraph 7 shall: </w:t>
      </w:r>
    </w:p>
    <w:p w:rsidR="003450F4" w:rsidRDefault="00BE658D">
      <w:pPr>
        <w:widowControl/>
        <w:numPr>
          <w:ilvl w:val="2"/>
          <w:numId w:val="2"/>
        </w:numPr>
        <w:tabs>
          <w:tab w:val="left" w:pos="3054"/>
        </w:tabs>
        <w:spacing w:before="120"/>
        <w:jc w:val="both"/>
        <w:rPr>
          <w:rFonts w:ascii="Arial" w:eastAsia="Arial" w:hAnsi="Arial" w:cs="Arial"/>
          <w:sz w:val="24"/>
          <w:szCs w:val="24"/>
        </w:rPr>
      </w:pPr>
      <w:r>
        <w:rPr>
          <w:rFonts w:ascii="Arial" w:eastAsia="Arial" w:hAnsi="Arial" w:cs="Arial"/>
          <w:sz w:val="24"/>
          <w:szCs w:val="24"/>
        </w:rPr>
        <w:t>Identify its Service Requirements and identify the Suppliers capable of supplying them;</w:t>
      </w:r>
    </w:p>
    <w:p w:rsidR="003450F4" w:rsidRDefault="00BE658D">
      <w:pPr>
        <w:widowControl/>
        <w:numPr>
          <w:ilvl w:val="2"/>
          <w:numId w:val="2"/>
        </w:numPr>
        <w:tabs>
          <w:tab w:val="left" w:pos="3054"/>
        </w:tabs>
        <w:spacing w:before="120"/>
        <w:jc w:val="both"/>
        <w:rPr>
          <w:rFonts w:ascii="Arial" w:eastAsia="Arial" w:hAnsi="Arial" w:cs="Arial"/>
          <w:sz w:val="24"/>
          <w:szCs w:val="24"/>
        </w:rPr>
      </w:pPr>
      <w:r>
        <w:rPr>
          <w:rFonts w:ascii="Arial" w:eastAsia="Arial" w:hAnsi="Arial" w:cs="Arial"/>
          <w:sz w:val="24"/>
          <w:szCs w:val="24"/>
        </w:rPr>
        <w:t>analyse the contracts previously awarded by t</w:t>
      </w:r>
      <w:r>
        <w:rPr>
          <w:rFonts w:ascii="Arial" w:eastAsia="Arial" w:hAnsi="Arial" w:cs="Arial"/>
          <w:sz w:val="24"/>
          <w:szCs w:val="24"/>
        </w:rPr>
        <w:t>he Buyer to the capable Suppliers in order to ensure that each Supplier is awarded an equitable share of the value of the contracts let under the Framework Contract via direct award pursuant to this paragraph 7 of Schedule 7; and</w:t>
      </w:r>
    </w:p>
    <w:p w:rsidR="003450F4" w:rsidRDefault="00BE658D">
      <w:pPr>
        <w:widowControl/>
        <w:numPr>
          <w:ilvl w:val="2"/>
          <w:numId w:val="2"/>
        </w:numPr>
        <w:tabs>
          <w:tab w:val="left" w:pos="3054"/>
        </w:tabs>
        <w:spacing w:before="120"/>
        <w:jc w:val="both"/>
        <w:rPr>
          <w:rFonts w:ascii="Arial" w:eastAsia="Arial" w:hAnsi="Arial" w:cs="Arial"/>
          <w:sz w:val="24"/>
          <w:szCs w:val="24"/>
        </w:rPr>
      </w:pPr>
      <w:r>
        <w:rPr>
          <w:rFonts w:ascii="Arial" w:eastAsia="Arial" w:hAnsi="Arial" w:cs="Arial"/>
          <w:sz w:val="24"/>
          <w:szCs w:val="24"/>
        </w:rPr>
        <w:t>apply the following criter</w:t>
      </w:r>
      <w:r>
        <w:rPr>
          <w:rFonts w:ascii="Arial" w:eastAsia="Arial" w:hAnsi="Arial" w:cs="Arial"/>
          <w:sz w:val="24"/>
          <w:szCs w:val="24"/>
        </w:rPr>
        <w:t>ia to the capable Suppliers to determine which of them should be awarded the contract in accordance with paragraph 7:</w:t>
      </w:r>
    </w:p>
    <w:p w:rsidR="003450F4" w:rsidRDefault="00BE658D">
      <w:pPr>
        <w:widowControl/>
        <w:numPr>
          <w:ilvl w:val="3"/>
          <w:numId w:val="2"/>
        </w:numPr>
        <w:tabs>
          <w:tab w:val="left" w:pos="3054"/>
        </w:tabs>
        <w:spacing w:before="120"/>
        <w:jc w:val="both"/>
        <w:rPr>
          <w:rFonts w:ascii="Arial" w:eastAsia="Arial" w:hAnsi="Arial" w:cs="Arial"/>
          <w:sz w:val="24"/>
          <w:szCs w:val="24"/>
        </w:rPr>
      </w:pPr>
      <w:r>
        <w:rPr>
          <w:rFonts w:ascii="Arial" w:eastAsia="Arial" w:hAnsi="Arial" w:cs="Arial"/>
          <w:sz w:val="24"/>
          <w:szCs w:val="24"/>
        </w:rPr>
        <w:t xml:space="preserve">No actual, potential or apparent conflict of interest with the financial institution(s) concerned </w:t>
      </w:r>
    </w:p>
    <w:p w:rsidR="003450F4" w:rsidRDefault="00BE658D">
      <w:pPr>
        <w:widowControl/>
        <w:numPr>
          <w:ilvl w:val="3"/>
          <w:numId w:val="2"/>
        </w:numPr>
        <w:tabs>
          <w:tab w:val="left" w:pos="3054"/>
        </w:tabs>
        <w:spacing w:before="120"/>
        <w:jc w:val="both"/>
        <w:rPr>
          <w:rFonts w:ascii="Arial" w:eastAsia="Arial" w:hAnsi="Arial" w:cs="Arial"/>
          <w:sz w:val="24"/>
          <w:szCs w:val="24"/>
        </w:rPr>
      </w:pPr>
      <w:r>
        <w:rPr>
          <w:rFonts w:ascii="Arial" w:eastAsia="Arial" w:hAnsi="Arial" w:cs="Arial"/>
          <w:sz w:val="24"/>
          <w:szCs w:val="24"/>
        </w:rPr>
        <w:t>Ability to start work immediately and d</w:t>
      </w:r>
      <w:r>
        <w:rPr>
          <w:rFonts w:ascii="Arial" w:eastAsia="Arial" w:hAnsi="Arial" w:cs="Arial"/>
          <w:sz w:val="24"/>
          <w:szCs w:val="24"/>
        </w:rPr>
        <w:t>eploy resources with the full range of niche/specialist expertise and experience required to address the situation comprehensively and effectively and in accordance with the Buyer’s requirements</w:t>
      </w:r>
    </w:p>
    <w:p w:rsidR="003450F4" w:rsidRDefault="00BE658D">
      <w:pPr>
        <w:widowControl/>
        <w:numPr>
          <w:ilvl w:val="3"/>
          <w:numId w:val="2"/>
        </w:numPr>
        <w:tabs>
          <w:tab w:val="left" w:pos="3054"/>
        </w:tabs>
        <w:spacing w:before="120"/>
        <w:jc w:val="both"/>
        <w:rPr>
          <w:rFonts w:ascii="Arial" w:eastAsia="Arial" w:hAnsi="Arial" w:cs="Arial"/>
          <w:sz w:val="24"/>
          <w:szCs w:val="24"/>
        </w:rPr>
      </w:pPr>
      <w:r>
        <w:rPr>
          <w:rFonts w:ascii="Arial" w:eastAsia="Arial" w:hAnsi="Arial" w:cs="Arial"/>
          <w:sz w:val="24"/>
          <w:szCs w:val="24"/>
        </w:rPr>
        <w:t>Quality of understanding of the workings of Government includ</w:t>
      </w:r>
      <w:r>
        <w:rPr>
          <w:rFonts w:ascii="Arial" w:eastAsia="Arial" w:hAnsi="Arial" w:cs="Arial"/>
          <w:sz w:val="24"/>
          <w:szCs w:val="24"/>
        </w:rPr>
        <w:t xml:space="preserve">ing ministerial and departmental accountability, public </w:t>
      </w:r>
      <w:r>
        <w:rPr>
          <w:rFonts w:ascii="Arial" w:eastAsia="Arial" w:hAnsi="Arial" w:cs="Arial"/>
          <w:sz w:val="24"/>
          <w:szCs w:val="24"/>
        </w:rPr>
        <w:lastRenderedPageBreak/>
        <w:t xml:space="preserve">law decision making, EU law, state aid and other relevant specialist topics. </w:t>
      </w:r>
    </w:p>
    <w:p w:rsidR="003450F4" w:rsidRDefault="00BE658D">
      <w:pPr>
        <w:widowControl/>
        <w:numPr>
          <w:ilvl w:val="1"/>
          <w:numId w:val="2"/>
        </w:numPr>
        <w:tabs>
          <w:tab w:val="left" w:pos="3054"/>
        </w:tabs>
        <w:spacing w:before="120"/>
        <w:jc w:val="both"/>
        <w:rPr>
          <w:rFonts w:ascii="Arial" w:eastAsia="Arial" w:hAnsi="Arial" w:cs="Arial"/>
          <w:sz w:val="24"/>
          <w:szCs w:val="24"/>
        </w:rPr>
      </w:pPr>
      <w:r>
        <w:rPr>
          <w:rFonts w:ascii="Arial" w:eastAsia="Arial" w:hAnsi="Arial" w:cs="Arial"/>
          <w:sz w:val="24"/>
          <w:szCs w:val="24"/>
        </w:rPr>
        <w:t>The Supplier’s Obligations:</w:t>
      </w:r>
    </w:p>
    <w:p w:rsidR="003450F4" w:rsidRDefault="00BE658D">
      <w:pPr>
        <w:widowControl/>
        <w:numPr>
          <w:ilvl w:val="2"/>
          <w:numId w:val="2"/>
        </w:numPr>
        <w:tabs>
          <w:tab w:val="left" w:pos="3054"/>
        </w:tabs>
        <w:spacing w:before="120"/>
        <w:jc w:val="both"/>
        <w:rPr>
          <w:rFonts w:ascii="Arial" w:eastAsia="Arial" w:hAnsi="Arial" w:cs="Arial"/>
          <w:sz w:val="24"/>
          <w:szCs w:val="24"/>
        </w:rPr>
      </w:pPr>
      <w:r>
        <w:rPr>
          <w:rFonts w:ascii="Arial" w:eastAsia="Arial" w:hAnsi="Arial" w:cs="Arial"/>
          <w:sz w:val="24"/>
          <w:szCs w:val="24"/>
        </w:rPr>
        <w:t>The Supplier shall provide any information reasonably requested by the Contracting Authority i</w:t>
      </w:r>
      <w:r>
        <w:rPr>
          <w:rFonts w:ascii="Arial" w:eastAsia="Arial" w:hAnsi="Arial" w:cs="Arial"/>
          <w:sz w:val="24"/>
          <w:szCs w:val="24"/>
        </w:rPr>
        <w:t>n carrying out any procedure under this paragraph 7.</w:t>
      </w:r>
    </w:p>
    <w:p w:rsidR="003450F4" w:rsidRDefault="00BE658D">
      <w:pPr>
        <w:widowControl/>
        <w:numPr>
          <w:ilvl w:val="1"/>
          <w:numId w:val="2"/>
        </w:numPr>
        <w:tabs>
          <w:tab w:val="left" w:pos="3054"/>
        </w:tabs>
        <w:spacing w:before="120"/>
        <w:jc w:val="both"/>
        <w:rPr>
          <w:rFonts w:ascii="Arial" w:eastAsia="Arial" w:hAnsi="Arial" w:cs="Arial"/>
          <w:sz w:val="24"/>
          <w:szCs w:val="24"/>
        </w:rPr>
      </w:pPr>
      <w:r>
        <w:rPr>
          <w:rFonts w:ascii="Arial" w:eastAsia="Arial" w:hAnsi="Arial" w:cs="Arial"/>
          <w:sz w:val="24"/>
          <w:szCs w:val="24"/>
        </w:rPr>
        <w:t>Contract Award:</w:t>
      </w:r>
    </w:p>
    <w:p w:rsidR="003450F4" w:rsidRDefault="00BE658D">
      <w:pPr>
        <w:widowControl/>
        <w:numPr>
          <w:ilvl w:val="2"/>
          <w:numId w:val="2"/>
        </w:numPr>
        <w:tabs>
          <w:tab w:val="left" w:pos="3054"/>
        </w:tabs>
        <w:spacing w:before="120"/>
        <w:jc w:val="both"/>
        <w:rPr>
          <w:rFonts w:ascii="Arial" w:eastAsia="Arial" w:hAnsi="Arial" w:cs="Arial"/>
          <w:sz w:val="24"/>
          <w:szCs w:val="24"/>
        </w:rPr>
      </w:pPr>
      <w:r>
        <w:rPr>
          <w:rFonts w:ascii="Arial" w:eastAsia="Arial" w:hAnsi="Arial" w:cs="Arial"/>
          <w:sz w:val="24"/>
          <w:szCs w:val="24"/>
        </w:rPr>
        <w:t>The Buyer shall award the Call Off Agreement to the successful Supplier, as determined in accordance with this paragraph 7, in accordance with Paragraph 6 above, and the Call Off Agreemen</w:t>
      </w:r>
      <w:r>
        <w:rPr>
          <w:rFonts w:ascii="Arial" w:eastAsia="Arial" w:hAnsi="Arial" w:cs="Arial"/>
          <w:sz w:val="24"/>
          <w:szCs w:val="24"/>
        </w:rPr>
        <w:t xml:space="preserve">t shall: </w:t>
      </w:r>
    </w:p>
    <w:p w:rsidR="003450F4" w:rsidRDefault="00BE658D">
      <w:pPr>
        <w:widowControl/>
        <w:numPr>
          <w:ilvl w:val="3"/>
          <w:numId w:val="2"/>
        </w:numPr>
        <w:tabs>
          <w:tab w:val="left" w:pos="3054"/>
        </w:tabs>
        <w:spacing w:before="120"/>
        <w:jc w:val="both"/>
        <w:rPr>
          <w:rFonts w:ascii="Arial" w:eastAsia="Arial" w:hAnsi="Arial" w:cs="Arial"/>
          <w:sz w:val="24"/>
          <w:szCs w:val="24"/>
        </w:rPr>
      </w:pPr>
      <w:r>
        <w:rPr>
          <w:rFonts w:ascii="Arial" w:eastAsia="Arial" w:hAnsi="Arial" w:cs="Arial"/>
          <w:sz w:val="24"/>
          <w:szCs w:val="24"/>
        </w:rPr>
        <w:t>state the charges payable for the Services Requirements in accordance with the prices for that Supplier set out in Framework Schedule 3; and</w:t>
      </w:r>
    </w:p>
    <w:p w:rsidR="003450F4" w:rsidRDefault="00BE658D">
      <w:pPr>
        <w:widowControl/>
        <w:numPr>
          <w:ilvl w:val="3"/>
          <w:numId w:val="2"/>
        </w:numPr>
        <w:tabs>
          <w:tab w:val="left" w:pos="3054"/>
        </w:tabs>
        <w:spacing w:before="120"/>
        <w:jc w:val="both"/>
        <w:rPr>
          <w:rFonts w:ascii="Arial" w:eastAsia="Arial" w:hAnsi="Arial" w:cs="Arial"/>
          <w:sz w:val="24"/>
          <w:szCs w:val="24"/>
        </w:rPr>
      </w:pPr>
      <w:r>
        <w:rPr>
          <w:rFonts w:ascii="Arial" w:eastAsia="Arial" w:hAnsi="Arial" w:cs="Arial"/>
          <w:sz w:val="24"/>
          <w:szCs w:val="24"/>
        </w:rPr>
        <w:t>incorporate the template call off order form and template call off terms (as may be amended or refined in</w:t>
      </w:r>
      <w:r>
        <w:rPr>
          <w:rFonts w:ascii="Arial" w:eastAsia="Arial" w:hAnsi="Arial" w:cs="Arial"/>
          <w:sz w:val="24"/>
          <w:szCs w:val="24"/>
        </w:rPr>
        <w:t xml:space="preserve"> accordance with this Framework Contract) applicable to the Services.</w:t>
      </w:r>
    </w:p>
    <w:p w:rsidR="003450F4" w:rsidRDefault="00BE658D">
      <w:pPr>
        <w:widowControl/>
        <w:numPr>
          <w:ilvl w:val="1"/>
          <w:numId w:val="2"/>
        </w:numPr>
        <w:tabs>
          <w:tab w:val="left" w:pos="3054"/>
        </w:tabs>
        <w:spacing w:before="120"/>
        <w:jc w:val="both"/>
        <w:rPr>
          <w:rFonts w:ascii="Arial" w:eastAsia="Arial" w:hAnsi="Arial" w:cs="Arial"/>
          <w:sz w:val="24"/>
          <w:szCs w:val="24"/>
        </w:rPr>
      </w:pPr>
      <w:r>
        <w:rPr>
          <w:rFonts w:ascii="Arial" w:eastAsia="Arial" w:hAnsi="Arial" w:cs="Arial"/>
          <w:sz w:val="24"/>
          <w:szCs w:val="24"/>
        </w:rPr>
        <w:t>In this paragraph 3, “Material Risk” means an actual or potential risk to the liquidity or solvency of a single UK financial institution with the potential to spread to other institution</w:t>
      </w:r>
      <w:r>
        <w:rPr>
          <w:rFonts w:ascii="Arial" w:eastAsia="Arial" w:hAnsi="Arial" w:cs="Arial"/>
          <w:sz w:val="24"/>
          <w:szCs w:val="24"/>
        </w:rPr>
        <w:t xml:space="preserve">s which the Buyer has the responsibility and legal capacity to intervene to address which has materialised or is likely to materialise in the immediate or very short term. </w:t>
      </w:r>
    </w:p>
    <w:p w:rsidR="003450F4" w:rsidRDefault="00BE658D">
      <w:pPr>
        <w:widowControl/>
        <w:tabs>
          <w:tab w:val="left" w:pos="3054"/>
        </w:tabs>
        <w:spacing w:before="120"/>
        <w:ind w:left="2610"/>
        <w:jc w:val="both"/>
        <w:rPr>
          <w:rFonts w:ascii="Arial" w:eastAsia="Arial" w:hAnsi="Arial" w:cs="Arial"/>
          <w:sz w:val="24"/>
          <w:szCs w:val="24"/>
        </w:rPr>
      </w:pPr>
      <w:r>
        <w:rPr>
          <w:rFonts w:ascii="Arial" w:eastAsia="Arial" w:hAnsi="Arial" w:cs="Arial"/>
          <w:sz w:val="24"/>
          <w:szCs w:val="24"/>
        </w:rPr>
        <w:tab/>
        <w:t xml:space="preserve"> </w:t>
      </w:r>
    </w:p>
    <w:p w:rsidR="003450F4" w:rsidRDefault="003450F4">
      <w:pPr>
        <w:widowControl/>
        <w:tabs>
          <w:tab w:val="left" w:pos="3054"/>
        </w:tabs>
        <w:spacing w:before="120"/>
        <w:ind w:left="1080"/>
        <w:jc w:val="both"/>
        <w:rPr>
          <w:rFonts w:ascii="Arial" w:eastAsia="Arial" w:hAnsi="Arial" w:cs="Arial"/>
          <w:sz w:val="24"/>
          <w:szCs w:val="24"/>
        </w:rPr>
      </w:pPr>
    </w:p>
    <w:p w:rsidR="003450F4" w:rsidRDefault="003450F4">
      <w:pPr>
        <w:widowControl/>
        <w:tabs>
          <w:tab w:val="left" w:pos="3054"/>
        </w:tabs>
        <w:spacing w:before="120"/>
        <w:jc w:val="both"/>
        <w:rPr>
          <w:rFonts w:ascii="Arial" w:eastAsia="Arial" w:hAnsi="Arial" w:cs="Arial"/>
          <w:sz w:val="24"/>
          <w:szCs w:val="24"/>
        </w:rPr>
      </w:pPr>
    </w:p>
    <w:p w:rsidR="003450F4" w:rsidRDefault="003450F4">
      <w:pPr>
        <w:widowControl/>
        <w:tabs>
          <w:tab w:val="left" w:pos="3054"/>
        </w:tabs>
        <w:spacing w:before="120"/>
        <w:jc w:val="both"/>
        <w:rPr>
          <w:rFonts w:ascii="Arial" w:eastAsia="Arial" w:hAnsi="Arial" w:cs="Arial"/>
          <w:sz w:val="24"/>
          <w:szCs w:val="24"/>
        </w:rPr>
      </w:pPr>
    </w:p>
    <w:p w:rsidR="003450F4" w:rsidRDefault="00BE658D">
      <w:pPr>
        <w:rPr>
          <w:rFonts w:ascii="Arial" w:eastAsia="Arial" w:hAnsi="Arial" w:cs="Arial"/>
          <w:sz w:val="24"/>
          <w:szCs w:val="24"/>
        </w:rPr>
      </w:pPr>
      <w:r>
        <w:br w:type="page"/>
      </w:r>
    </w:p>
    <w:p w:rsidR="003450F4" w:rsidRDefault="003450F4">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3450F4" w:rsidRDefault="00BE658D">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3450F4" w:rsidRDefault="00BE658D">
      <w:pPr>
        <w:widowControl/>
        <w:numPr>
          <w:ilvl w:val="0"/>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This Part 2 lays out award criteria for direct </w:t>
      </w:r>
      <w:r>
        <w:rPr>
          <w:rFonts w:ascii="Arial" w:eastAsia="Arial" w:hAnsi="Arial" w:cs="Arial"/>
          <w:sz w:val="24"/>
          <w:szCs w:val="24"/>
        </w:rPr>
        <w:t>ordering</w:t>
      </w:r>
      <w:r>
        <w:rPr>
          <w:rFonts w:ascii="Arial" w:eastAsia="Arial" w:hAnsi="Arial" w:cs="Arial"/>
          <w:color w:val="000000"/>
          <w:sz w:val="24"/>
          <w:szCs w:val="24"/>
        </w:rPr>
        <w:t xml:space="preserve"> (Annex A) and for further competition (Annex B) in accordance with the Call-Off Procedure.</w:t>
      </w:r>
    </w:p>
    <w:p w:rsidR="003450F4" w:rsidRDefault="00BE658D">
      <w:pPr>
        <w:widowControl/>
        <w:numPr>
          <w:ilvl w:val="0"/>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rsidR="003450F4" w:rsidRDefault="00BE658D">
      <w:pPr>
        <w:rPr>
          <w:rFonts w:ascii="Arial" w:eastAsia="Arial" w:hAnsi="Arial" w:cs="Arial"/>
          <w:b/>
          <w:smallCaps/>
          <w:sz w:val="24"/>
          <w:szCs w:val="24"/>
        </w:rPr>
      </w:pPr>
      <w:r>
        <w:br w:type="page"/>
      </w:r>
    </w:p>
    <w:p w:rsidR="003450F4" w:rsidRDefault="00BE658D">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 xml:space="preserve">Annex A: Direct </w:t>
      </w:r>
      <w:r>
        <w:rPr>
          <w:rFonts w:ascii="Arial Bold" w:eastAsia="Arial Bold" w:hAnsi="Arial Bold" w:cs="Arial Bold"/>
          <w:b/>
          <w:sz w:val="36"/>
          <w:szCs w:val="36"/>
        </w:rPr>
        <w:t>ordering</w:t>
      </w:r>
      <w:r>
        <w:rPr>
          <w:rFonts w:ascii="Arial Bold" w:eastAsia="Arial Bold" w:hAnsi="Arial Bold" w:cs="Arial Bold"/>
          <w:b/>
          <w:color w:val="000000"/>
          <w:sz w:val="36"/>
          <w:szCs w:val="36"/>
        </w:rPr>
        <w:t xml:space="preserve"> criteria</w:t>
      </w:r>
    </w:p>
    <w:p w:rsidR="003450F4" w:rsidRDefault="00BE658D">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 xml:space="preserve">The following criteria and weightings shall apply to the evaluation for direct </w:t>
      </w:r>
      <w:r>
        <w:rPr>
          <w:rFonts w:ascii="Arial" w:eastAsia="Arial" w:hAnsi="Arial" w:cs="Arial"/>
          <w:sz w:val="24"/>
          <w:szCs w:val="24"/>
        </w:rPr>
        <w:t>order</w:t>
      </w:r>
      <w:r>
        <w:rPr>
          <w:rFonts w:ascii="Arial" w:eastAsia="Arial" w:hAnsi="Arial" w:cs="Arial"/>
          <w:color w:val="000000"/>
          <w:sz w:val="24"/>
          <w:szCs w:val="24"/>
        </w:rPr>
        <w:t xml:space="preserve"> of each Call-Off.</w:t>
      </w:r>
    </w:p>
    <w:tbl>
      <w:tblPr>
        <w:tblStyle w:val="a3"/>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5670"/>
      </w:tblGrid>
      <w:tr w:rsidR="003450F4">
        <w:tc>
          <w:tcPr>
            <w:tcW w:w="3544" w:type="dxa"/>
            <w:shd w:val="clear" w:color="auto" w:fill="E7E6E6"/>
          </w:tcPr>
          <w:p w:rsidR="003450F4" w:rsidRDefault="00BE658D">
            <w:pPr>
              <w:keepNext/>
              <w:widowControl/>
              <w:pBdr>
                <w:top w:val="nil"/>
                <w:left w:val="nil"/>
                <w:bottom w:val="nil"/>
                <w:right w:val="nil"/>
                <w:between w:val="nil"/>
              </w:pBdr>
              <w:spacing w:before="120" w:after="120"/>
              <w:ind w:left="142" w:hanging="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5670" w:type="dxa"/>
            <w:shd w:val="clear" w:color="auto" w:fill="E7E6E6"/>
          </w:tcPr>
          <w:p w:rsidR="003450F4" w:rsidRDefault="00BE658D">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p w:rsidR="003450F4" w:rsidRDefault="00BE658D">
            <w:pPr>
              <w:widowControl/>
              <w:spacing w:after="200" w:line="276" w:lineRule="auto"/>
              <w:rPr>
                <w:rFonts w:ascii="Arial" w:eastAsia="Arial" w:hAnsi="Arial" w:cs="Arial"/>
                <w:b/>
                <w:sz w:val="24"/>
                <w:szCs w:val="24"/>
              </w:rPr>
            </w:pPr>
            <w:r>
              <w:rPr>
                <w:rFonts w:ascii="Arial" w:eastAsia="Arial" w:hAnsi="Arial" w:cs="Arial"/>
                <w:sz w:val="24"/>
                <w:szCs w:val="24"/>
              </w:rPr>
              <w:t xml:space="preserve">1 = most important, 2 = second most important </w:t>
            </w:r>
          </w:p>
        </w:tc>
      </w:tr>
      <w:tr w:rsidR="003450F4">
        <w:tc>
          <w:tcPr>
            <w:tcW w:w="3544" w:type="dxa"/>
          </w:tcPr>
          <w:p w:rsidR="003450F4" w:rsidRDefault="00BE658D">
            <w:pPr>
              <w:keepNext/>
              <w:widowControl/>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sz w:val="24"/>
                <w:szCs w:val="24"/>
              </w:rPr>
              <w:t>1 Quality - quality evaluations took place for all supplier bids</w:t>
            </w:r>
          </w:p>
        </w:tc>
        <w:tc>
          <w:tcPr>
            <w:tcW w:w="5670" w:type="dxa"/>
          </w:tcPr>
          <w:p w:rsidR="003450F4" w:rsidRDefault="00BE658D">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rPr>
            </w:pPr>
            <w:r>
              <w:rPr>
                <w:rFonts w:ascii="Arial" w:eastAsia="Arial" w:hAnsi="Arial" w:cs="Arial"/>
                <w:color w:val="000000"/>
                <w:sz w:val="24"/>
                <w:szCs w:val="24"/>
              </w:rPr>
              <w:t>30-70%</w:t>
            </w:r>
          </w:p>
        </w:tc>
      </w:tr>
      <w:tr w:rsidR="003450F4">
        <w:tc>
          <w:tcPr>
            <w:tcW w:w="3544" w:type="dxa"/>
          </w:tcPr>
          <w:p w:rsidR="003450F4" w:rsidRDefault="00BE658D">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rPr>
            </w:pPr>
            <w:r>
              <w:rPr>
                <w:rFonts w:ascii="Arial" w:eastAsia="Arial" w:hAnsi="Arial" w:cs="Arial"/>
                <w:sz w:val="24"/>
                <w:szCs w:val="24"/>
              </w:rPr>
              <w:t>2 Price - maximum prices for related services have been provided by suppliers</w:t>
            </w:r>
          </w:p>
        </w:tc>
        <w:tc>
          <w:tcPr>
            <w:tcW w:w="5670" w:type="dxa"/>
          </w:tcPr>
          <w:p w:rsidR="003450F4" w:rsidRDefault="00BE658D">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rPr>
            </w:pPr>
            <w:r>
              <w:rPr>
                <w:rFonts w:ascii="Arial" w:eastAsia="Arial" w:hAnsi="Arial" w:cs="Arial"/>
                <w:color w:val="000000"/>
                <w:sz w:val="24"/>
                <w:szCs w:val="24"/>
              </w:rPr>
              <w:t>30-70%</w:t>
            </w:r>
          </w:p>
        </w:tc>
      </w:tr>
      <w:tr w:rsidR="003450F4">
        <w:tc>
          <w:tcPr>
            <w:tcW w:w="3544" w:type="dxa"/>
          </w:tcPr>
          <w:p w:rsidR="003450F4" w:rsidRDefault="003450F4">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highlight w:val="yellow"/>
              </w:rPr>
            </w:pPr>
          </w:p>
        </w:tc>
        <w:tc>
          <w:tcPr>
            <w:tcW w:w="5670" w:type="dxa"/>
          </w:tcPr>
          <w:p w:rsidR="003450F4" w:rsidRDefault="003450F4">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rPr>
            </w:pPr>
          </w:p>
        </w:tc>
      </w:tr>
      <w:tr w:rsidR="003450F4">
        <w:tc>
          <w:tcPr>
            <w:tcW w:w="3544" w:type="dxa"/>
          </w:tcPr>
          <w:p w:rsidR="003450F4" w:rsidRDefault="003450F4">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highlight w:val="yellow"/>
              </w:rPr>
            </w:pPr>
          </w:p>
        </w:tc>
        <w:tc>
          <w:tcPr>
            <w:tcW w:w="5670" w:type="dxa"/>
          </w:tcPr>
          <w:p w:rsidR="003450F4" w:rsidRDefault="003450F4">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rPr>
            </w:pPr>
          </w:p>
        </w:tc>
      </w:tr>
      <w:tr w:rsidR="003450F4">
        <w:tc>
          <w:tcPr>
            <w:tcW w:w="3544" w:type="dxa"/>
          </w:tcPr>
          <w:p w:rsidR="003450F4" w:rsidRDefault="003450F4">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highlight w:val="yellow"/>
              </w:rPr>
            </w:pPr>
          </w:p>
        </w:tc>
        <w:tc>
          <w:tcPr>
            <w:tcW w:w="5670" w:type="dxa"/>
          </w:tcPr>
          <w:p w:rsidR="003450F4" w:rsidRDefault="003450F4">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rPr>
            </w:pPr>
          </w:p>
        </w:tc>
      </w:tr>
      <w:tr w:rsidR="003450F4">
        <w:tc>
          <w:tcPr>
            <w:tcW w:w="3544" w:type="dxa"/>
          </w:tcPr>
          <w:p w:rsidR="003450F4" w:rsidRDefault="003450F4">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highlight w:val="yellow"/>
              </w:rPr>
            </w:pPr>
          </w:p>
        </w:tc>
        <w:tc>
          <w:tcPr>
            <w:tcW w:w="5670" w:type="dxa"/>
          </w:tcPr>
          <w:p w:rsidR="003450F4" w:rsidRDefault="003450F4">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rPr>
            </w:pPr>
          </w:p>
        </w:tc>
      </w:tr>
      <w:tr w:rsidR="003450F4">
        <w:tc>
          <w:tcPr>
            <w:tcW w:w="3544" w:type="dxa"/>
          </w:tcPr>
          <w:p w:rsidR="003450F4" w:rsidRDefault="003450F4">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highlight w:val="yellow"/>
              </w:rPr>
            </w:pPr>
          </w:p>
        </w:tc>
        <w:tc>
          <w:tcPr>
            <w:tcW w:w="5670" w:type="dxa"/>
          </w:tcPr>
          <w:p w:rsidR="003450F4" w:rsidRDefault="003450F4">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rPr>
            </w:pPr>
          </w:p>
        </w:tc>
      </w:tr>
    </w:tbl>
    <w:p w:rsidR="003450F4" w:rsidRDefault="003450F4">
      <w:pPr>
        <w:widowControl/>
        <w:pBdr>
          <w:top w:val="nil"/>
          <w:left w:val="nil"/>
          <w:bottom w:val="nil"/>
          <w:right w:val="nil"/>
          <w:between w:val="nil"/>
        </w:pBdr>
        <w:ind w:left="1080"/>
        <w:jc w:val="both"/>
        <w:rPr>
          <w:rFonts w:ascii="Arial" w:eastAsia="Arial" w:hAnsi="Arial" w:cs="Arial"/>
          <w:color w:val="FFFFFF"/>
          <w:sz w:val="24"/>
          <w:szCs w:val="24"/>
        </w:rPr>
      </w:pPr>
    </w:p>
    <w:p w:rsidR="003450F4" w:rsidRDefault="00BE658D">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B: Further Competition Award Criteria</w:t>
      </w:r>
    </w:p>
    <w:p w:rsidR="003450F4" w:rsidRDefault="00BE658D">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a4"/>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450F4">
        <w:tc>
          <w:tcPr>
            <w:tcW w:w="4508" w:type="dxa"/>
            <w:shd w:val="clear" w:color="auto" w:fill="E7E6E6"/>
          </w:tcPr>
          <w:p w:rsidR="003450F4" w:rsidRDefault="00BE658D">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b/>
                <w:color w:val="000000"/>
                <w:sz w:val="24"/>
                <w:szCs w:val="24"/>
              </w:rPr>
              <w:t>Criteria</w:t>
            </w:r>
          </w:p>
        </w:tc>
        <w:tc>
          <w:tcPr>
            <w:tcW w:w="4508" w:type="dxa"/>
            <w:shd w:val="clear" w:color="auto" w:fill="E7E6E6"/>
          </w:tcPr>
          <w:p w:rsidR="003450F4" w:rsidRDefault="00BE658D">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p w:rsidR="003450F4" w:rsidRDefault="00BE658D">
            <w:pPr>
              <w:widowControl/>
              <w:pBdr>
                <w:top w:val="nil"/>
                <w:left w:val="nil"/>
                <w:bottom w:val="nil"/>
                <w:right w:val="nil"/>
                <w:between w:val="nil"/>
              </w:pBdr>
              <w:tabs>
                <w:tab w:val="left" w:pos="851"/>
              </w:tabs>
              <w:spacing w:after="240"/>
              <w:jc w:val="both"/>
              <w:rPr>
                <w:rFonts w:ascii="Arial" w:eastAsia="Arial" w:hAnsi="Arial" w:cs="Arial"/>
                <w:sz w:val="24"/>
                <w:szCs w:val="24"/>
              </w:rPr>
            </w:pPr>
            <w:r>
              <w:rPr>
                <w:rFonts w:ascii="Arial" w:eastAsia="Arial" w:hAnsi="Arial" w:cs="Arial"/>
                <w:sz w:val="24"/>
                <w:szCs w:val="24"/>
              </w:rPr>
              <w:t>(to equal 100%)</w:t>
            </w:r>
          </w:p>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r>
      <w:tr w:rsidR="003450F4">
        <w:tc>
          <w:tcPr>
            <w:tcW w:w="4508" w:type="dxa"/>
          </w:tcPr>
          <w:p w:rsidR="003450F4" w:rsidRDefault="00BE658D">
            <w:pPr>
              <w:keepNext/>
              <w:widowControl/>
              <w:pBdr>
                <w:top w:val="nil"/>
                <w:left w:val="nil"/>
                <w:bottom w:val="nil"/>
                <w:right w:val="nil"/>
                <w:between w:val="nil"/>
              </w:pBdr>
              <w:spacing w:before="120" w:after="120"/>
              <w:ind w:left="142" w:hanging="142"/>
              <w:rPr>
                <w:rFonts w:ascii="Arial" w:eastAsia="Arial" w:hAnsi="Arial" w:cs="Arial"/>
                <w:color w:val="000000"/>
                <w:sz w:val="24"/>
                <w:szCs w:val="24"/>
              </w:rPr>
            </w:pPr>
            <w:r>
              <w:rPr>
                <w:rFonts w:ascii="Arial" w:eastAsia="Arial" w:hAnsi="Arial" w:cs="Arial"/>
                <w:sz w:val="24"/>
                <w:szCs w:val="24"/>
              </w:rPr>
              <w:t xml:space="preserve">1 </w:t>
            </w:r>
            <w:r>
              <w:rPr>
                <w:rFonts w:ascii="Arial" w:eastAsia="Arial" w:hAnsi="Arial" w:cs="Arial"/>
                <w:color w:val="000000"/>
                <w:sz w:val="24"/>
                <w:szCs w:val="24"/>
              </w:rPr>
              <w:t>Quality</w:t>
            </w:r>
          </w:p>
          <w:p w:rsidR="003450F4" w:rsidRDefault="00BE658D">
            <w:pPr>
              <w:keepNext/>
              <w:widowControl/>
              <w:pBdr>
                <w:top w:val="nil"/>
                <w:left w:val="nil"/>
                <w:bottom w:val="nil"/>
                <w:right w:val="nil"/>
                <w:between w:val="nil"/>
              </w:pBdr>
              <w:spacing w:before="240" w:after="120"/>
              <w:ind w:left="142" w:hanging="142"/>
              <w:rPr>
                <w:rFonts w:ascii="Arial" w:eastAsia="Arial" w:hAnsi="Arial" w:cs="Arial"/>
                <w:color w:val="000000"/>
                <w:sz w:val="24"/>
                <w:szCs w:val="24"/>
              </w:rPr>
            </w:pPr>
            <w:r>
              <w:rPr>
                <w:rFonts w:ascii="Arial" w:eastAsia="Arial" w:hAnsi="Arial" w:cs="Arial"/>
                <w:color w:val="000000"/>
                <w:sz w:val="24"/>
                <w:szCs w:val="24"/>
              </w:rPr>
              <w:t>Which may consist of the following criteria:</w:t>
            </w:r>
          </w:p>
          <w:p w:rsidR="003450F4" w:rsidRDefault="00BE658D">
            <w:pPr>
              <w:widowControl/>
              <w:numPr>
                <w:ilvl w:val="0"/>
                <w:numId w:val="1"/>
              </w:numPr>
              <w:pBdr>
                <w:top w:val="nil"/>
                <w:left w:val="nil"/>
                <w:bottom w:val="nil"/>
                <w:right w:val="nil"/>
                <w:between w:val="nil"/>
              </w:pBdr>
              <w:tabs>
                <w:tab w:val="left" w:pos="851"/>
              </w:tabs>
              <w:jc w:val="both"/>
              <w:rPr>
                <w:rFonts w:ascii="Arial" w:eastAsia="Arial" w:hAnsi="Arial" w:cs="Arial"/>
                <w:sz w:val="24"/>
                <w:szCs w:val="24"/>
              </w:rPr>
            </w:pPr>
            <w:bookmarkStart w:id="10" w:name="_heading=h.3rdcrjn" w:colFirst="0" w:colLast="0"/>
            <w:bookmarkEnd w:id="10"/>
            <w:r>
              <w:rPr>
                <w:rFonts w:ascii="Arial" w:eastAsia="Arial" w:hAnsi="Arial" w:cs="Arial"/>
                <w:sz w:val="24"/>
                <w:szCs w:val="24"/>
              </w:rPr>
              <w:t>Seniority, qualification and experience of people to be deployed on the project.</w:t>
            </w:r>
          </w:p>
          <w:p w:rsidR="003450F4" w:rsidRDefault="00BE658D">
            <w:pPr>
              <w:widowControl/>
              <w:numPr>
                <w:ilvl w:val="0"/>
                <w:numId w:val="1"/>
              </w:numPr>
              <w:pBdr>
                <w:top w:val="nil"/>
                <w:left w:val="nil"/>
                <w:bottom w:val="nil"/>
                <w:right w:val="nil"/>
                <w:between w:val="nil"/>
              </w:pBdr>
              <w:tabs>
                <w:tab w:val="left" w:pos="851"/>
              </w:tabs>
              <w:jc w:val="both"/>
              <w:rPr>
                <w:rFonts w:ascii="Arial" w:eastAsia="Arial" w:hAnsi="Arial" w:cs="Arial"/>
                <w:sz w:val="24"/>
                <w:szCs w:val="24"/>
              </w:rPr>
            </w:pPr>
            <w:bookmarkStart w:id="11" w:name="_heading=h.w6erpmm12hst" w:colFirst="0" w:colLast="0"/>
            <w:bookmarkEnd w:id="11"/>
            <w:r>
              <w:rPr>
                <w:rFonts w:ascii="Arial" w:eastAsia="Arial" w:hAnsi="Arial" w:cs="Arial"/>
                <w:sz w:val="24"/>
                <w:szCs w:val="24"/>
              </w:rPr>
              <w:t xml:space="preserve"> Recent experience relevant to the project. </w:t>
            </w:r>
          </w:p>
          <w:p w:rsidR="003450F4" w:rsidRDefault="00BE658D">
            <w:pPr>
              <w:widowControl/>
              <w:numPr>
                <w:ilvl w:val="0"/>
                <w:numId w:val="1"/>
              </w:numPr>
              <w:pBdr>
                <w:top w:val="nil"/>
                <w:left w:val="nil"/>
                <w:bottom w:val="nil"/>
                <w:right w:val="nil"/>
                <w:between w:val="nil"/>
              </w:pBdr>
              <w:tabs>
                <w:tab w:val="left" w:pos="851"/>
              </w:tabs>
              <w:jc w:val="both"/>
              <w:rPr>
                <w:rFonts w:ascii="Arial" w:eastAsia="Arial" w:hAnsi="Arial" w:cs="Arial"/>
                <w:sz w:val="24"/>
                <w:szCs w:val="24"/>
              </w:rPr>
            </w:pPr>
            <w:bookmarkStart w:id="12" w:name="_heading=h.24w4dga1c5xv" w:colFirst="0" w:colLast="0"/>
            <w:bookmarkEnd w:id="12"/>
            <w:r>
              <w:rPr>
                <w:rFonts w:ascii="Arial" w:eastAsia="Arial" w:hAnsi="Arial" w:cs="Arial"/>
                <w:sz w:val="24"/>
                <w:szCs w:val="24"/>
              </w:rPr>
              <w:t>Ability to deploy resources and meet the required deadlines.</w:t>
            </w:r>
          </w:p>
          <w:p w:rsidR="003450F4" w:rsidRDefault="00BE658D">
            <w:pPr>
              <w:widowControl/>
              <w:numPr>
                <w:ilvl w:val="0"/>
                <w:numId w:val="1"/>
              </w:numPr>
              <w:pBdr>
                <w:top w:val="nil"/>
                <w:left w:val="nil"/>
                <w:bottom w:val="nil"/>
                <w:right w:val="nil"/>
                <w:between w:val="nil"/>
              </w:pBdr>
              <w:tabs>
                <w:tab w:val="left" w:pos="851"/>
              </w:tabs>
              <w:jc w:val="both"/>
              <w:rPr>
                <w:rFonts w:ascii="Arial" w:eastAsia="Arial" w:hAnsi="Arial" w:cs="Arial"/>
                <w:sz w:val="24"/>
                <w:szCs w:val="24"/>
              </w:rPr>
            </w:pPr>
            <w:bookmarkStart w:id="13" w:name="_heading=h.xdte93ek5mfd" w:colFirst="0" w:colLast="0"/>
            <w:bookmarkEnd w:id="13"/>
            <w:r>
              <w:rPr>
                <w:rFonts w:ascii="Arial" w:eastAsia="Arial" w:hAnsi="Arial" w:cs="Arial"/>
                <w:sz w:val="24"/>
                <w:szCs w:val="24"/>
              </w:rPr>
              <w:t>Regulatory Body Approvals where appropriate.</w:t>
            </w:r>
          </w:p>
          <w:p w:rsidR="003450F4" w:rsidRDefault="00BE658D">
            <w:pPr>
              <w:widowControl/>
              <w:numPr>
                <w:ilvl w:val="0"/>
                <w:numId w:val="1"/>
              </w:numPr>
              <w:pBdr>
                <w:top w:val="nil"/>
                <w:left w:val="nil"/>
                <w:bottom w:val="nil"/>
                <w:right w:val="nil"/>
                <w:between w:val="nil"/>
              </w:pBdr>
              <w:tabs>
                <w:tab w:val="left" w:pos="851"/>
              </w:tabs>
              <w:jc w:val="both"/>
              <w:rPr>
                <w:rFonts w:ascii="Arial" w:eastAsia="Arial" w:hAnsi="Arial" w:cs="Arial"/>
                <w:sz w:val="24"/>
                <w:szCs w:val="24"/>
              </w:rPr>
            </w:pPr>
            <w:bookmarkStart w:id="14" w:name="_heading=h.azfpuwp1sucf" w:colFirst="0" w:colLast="0"/>
            <w:bookmarkEnd w:id="14"/>
            <w:r>
              <w:rPr>
                <w:rFonts w:ascii="Arial" w:eastAsia="Arial" w:hAnsi="Arial" w:cs="Arial"/>
                <w:sz w:val="24"/>
                <w:szCs w:val="24"/>
              </w:rPr>
              <w:t>Environmental and/or soc</w:t>
            </w:r>
            <w:r>
              <w:rPr>
                <w:rFonts w:ascii="Arial" w:eastAsia="Arial" w:hAnsi="Arial" w:cs="Arial"/>
                <w:sz w:val="24"/>
                <w:szCs w:val="24"/>
              </w:rPr>
              <w:t xml:space="preserve">ial aspects. </w:t>
            </w:r>
          </w:p>
          <w:p w:rsidR="003450F4" w:rsidRDefault="00BE658D">
            <w:pPr>
              <w:widowControl/>
              <w:numPr>
                <w:ilvl w:val="0"/>
                <w:numId w:val="1"/>
              </w:numPr>
              <w:pBdr>
                <w:top w:val="nil"/>
                <w:left w:val="nil"/>
                <w:bottom w:val="nil"/>
                <w:right w:val="nil"/>
                <w:between w:val="nil"/>
              </w:pBdr>
              <w:tabs>
                <w:tab w:val="left" w:pos="851"/>
              </w:tabs>
              <w:spacing w:after="240"/>
              <w:jc w:val="both"/>
              <w:rPr>
                <w:rFonts w:ascii="Arial" w:eastAsia="Arial" w:hAnsi="Arial" w:cs="Arial"/>
                <w:sz w:val="24"/>
                <w:szCs w:val="24"/>
              </w:rPr>
            </w:pPr>
            <w:bookmarkStart w:id="15" w:name="_heading=h.t9x4r3nv6id0" w:colFirst="0" w:colLast="0"/>
            <w:bookmarkEnd w:id="15"/>
            <w:r>
              <w:rPr>
                <w:rFonts w:ascii="Arial" w:eastAsia="Arial" w:hAnsi="Arial" w:cs="Arial"/>
                <w:sz w:val="24"/>
                <w:szCs w:val="24"/>
              </w:rPr>
              <w:t>Contracting Bodies may test Quality by supplementing these tests for quality as appropriate relevant to the Requirement)</w:t>
            </w:r>
          </w:p>
        </w:tc>
        <w:tc>
          <w:tcPr>
            <w:tcW w:w="4508" w:type="dxa"/>
          </w:tcPr>
          <w:p w:rsidR="003450F4" w:rsidRDefault="00BE658D">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30-70% </w:t>
            </w:r>
          </w:p>
        </w:tc>
      </w:tr>
      <w:tr w:rsidR="003450F4">
        <w:tc>
          <w:tcPr>
            <w:tcW w:w="4508" w:type="dxa"/>
          </w:tcPr>
          <w:p w:rsidR="003450F4" w:rsidRDefault="00BE658D">
            <w:pPr>
              <w:keepNext/>
              <w:widowControl/>
              <w:pBdr>
                <w:top w:val="nil"/>
                <w:left w:val="nil"/>
                <w:bottom w:val="nil"/>
                <w:right w:val="nil"/>
                <w:between w:val="nil"/>
              </w:pBdr>
              <w:spacing w:before="120" w:after="120"/>
              <w:ind w:left="142" w:hanging="142"/>
              <w:rPr>
                <w:rFonts w:ascii="Arial" w:eastAsia="Arial" w:hAnsi="Arial" w:cs="Arial"/>
                <w:color w:val="000000"/>
                <w:sz w:val="24"/>
                <w:szCs w:val="24"/>
              </w:rPr>
            </w:pPr>
            <w:r>
              <w:rPr>
                <w:rFonts w:ascii="Arial" w:eastAsia="Arial" w:hAnsi="Arial" w:cs="Arial"/>
                <w:sz w:val="24"/>
                <w:szCs w:val="24"/>
              </w:rPr>
              <w:t>2 Price (not to exceed the maximum prices set out in the Charging Structure unless expressly permitted in the Statement of Requirements)</w:t>
            </w:r>
          </w:p>
        </w:tc>
        <w:tc>
          <w:tcPr>
            <w:tcW w:w="4508" w:type="dxa"/>
          </w:tcPr>
          <w:p w:rsidR="003450F4" w:rsidRDefault="00BE658D">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sz w:val="24"/>
                <w:szCs w:val="24"/>
              </w:rPr>
              <w:t>30-70%</w:t>
            </w:r>
          </w:p>
        </w:tc>
      </w:tr>
      <w:tr w:rsidR="003450F4">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r>
      <w:tr w:rsidR="003450F4">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r>
      <w:tr w:rsidR="003450F4">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r>
      <w:tr w:rsidR="003450F4">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r>
      <w:tr w:rsidR="003450F4">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r>
      <w:tr w:rsidR="003450F4">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r>
      <w:tr w:rsidR="003450F4">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highlight w:val="yellow"/>
              </w:rPr>
            </w:pPr>
          </w:p>
        </w:tc>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highlight w:val="yellow"/>
              </w:rPr>
            </w:pPr>
          </w:p>
        </w:tc>
      </w:tr>
      <w:tr w:rsidR="003450F4">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highlight w:val="yellow"/>
              </w:rPr>
            </w:pPr>
          </w:p>
        </w:tc>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highlight w:val="yellow"/>
              </w:rPr>
            </w:pPr>
          </w:p>
        </w:tc>
      </w:tr>
      <w:tr w:rsidR="003450F4">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highlight w:val="yellow"/>
              </w:rPr>
            </w:pPr>
          </w:p>
        </w:tc>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highlight w:val="yellow"/>
              </w:rPr>
            </w:pPr>
          </w:p>
        </w:tc>
      </w:tr>
      <w:tr w:rsidR="003450F4">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highlight w:val="yellow"/>
              </w:rPr>
            </w:pPr>
          </w:p>
        </w:tc>
        <w:tc>
          <w:tcPr>
            <w:tcW w:w="4508" w:type="dxa"/>
          </w:tcPr>
          <w:p w:rsidR="003450F4" w:rsidRDefault="003450F4">
            <w:pPr>
              <w:widowControl/>
              <w:pBdr>
                <w:top w:val="nil"/>
                <w:left w:val="nil"/>
                <w:bottom w:val="nil"/>
                <w:right w:val="nil"/>
                <w:between w:val="nil"/>
              </w:pBdr>
              <w:tabs>
                <w:tab w:val="left" w:pos="851"/>
              </w:tabs>
              <w:spacing w:after="240"/>
              <w:jc w:val="both"/>
              <w:rPr>
                <w:rFonts w:ascii="Arial" w:eastAsia="Arial" w:hAnsi="Arial" w:cs="Arial"/>
                <w:color w:val="000000"/>
                <w:sz w:val="24"/>
                <w:szCs w:val="24"/>
                <w:highlight w:val="yellow"/>
              </w:rPr>
            </w:pPr>
          </w:p>
        </w:tc>
      </w:tr>
    </w:tbl>
    <w:p w:rsidR="003450F4" w:rsidRDefault="003450F4">
      <w:pPr>
        <w:widowControl/>
        <w:pBdr>
          <w:top w:val="nil"/>
          <w:left w:val="nil"/>
          <w:bottom w:val="nil"/>
          <w:right w:val="nil"/>
          <w:between w:val="nil"/>
        </w:pBdr>
        <w:jc w:val="both"/>
        <w:rPr>
          <w:rFonts w:ascii="Arial" w:eastAsia="Arial" w:hAnsi="Arial" w:cs="Arial"/>
          <w:color w:val="FFFFFF"/>
          <w:sz w:val="24"/>
          <w:szCs w:val="24"/>
        </w:rPr>
      </w:pPr>
    </w:p>
    <w:p w:rsidR="003450F4" w:rsidRDefault="003450F4">
      <w:pPr>
        <w:widowControl/>
        <w:pBdr>
          <w:top w:val="nil"/>
          <w:left w:val="nil"/>
          <w:bottom w:val="nil"/>
          <w:right w:val="nil"/>
          <w:between w:val="nil"/>
        </w:pBdr>
        <w:jc w:val="both"/>
        <w:rPr>
          <w:rFonts w:ascii="Arial" w:eastAsia="Arial" w:hAnsi="Arial" w:cs="Arial"/>
          <w:color w:val="FFFFFF"/>
          <w:sz w:val="24"/>
          <w:szCs w:val="24"/>
        </w:rPr>
        <w:sectPr w:rsidR="003450F4">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p>
    <w:p w:rsidR="003450F4" w:rsidRDefault="003450F4">
      <w:pPr>
        <w:widowControl/>
        <w:pBdr>
          <w:top w:val="nil"/>
          <w:left w:val="nil"/>
          <w:bottom w:val="nil"/>
          <w:right w:val="nil"/>
          <w:between w:val="nil"/>
        </w:pBdr>
        <w:jc w:val="both"/>
        <w:rPr>
          <w:rFonts w:ascii="Arial" w:eastAsia="Arial" w:hAnsi="Arial" w:cs="Arial"/>
          <w:color w:val="FFFFFF"/>
          <w:sz w:val="24"/>
          <w:szCs w:val="24"/>
        </w:rPr>
      </w:pPr>
    </w:p>
    <w:sectPr w:rsidR="003450F4">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58D" w:rsidRDefault="00BE658D">
      <w:r>
        <w:separator/>
      </w:r>
    </w:p>
  </w:endnote>
  <w:endnote w:type="continuationSeparator" w:id="0">
    <w:p w:rsidR="00BE658D" w:rsidRDefault="00BE6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Liberation San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0F4" w:rsidRDefault="00BE658D">
    <w:pPr>
      <w:tabs>
        <w:tab w:val="center" w:pos="4513"/>
        <w:tab w:val="right" w:pos="9026"/>
      </w:tabs>
      <w:rPr>
        <w:rFonts w:ascii="Arial" w:eastAsia="Arial" w:hAnsi="Arial" w:cs="Arial"/>
        <w:sz w:val="20"/>
        <w:szCs w:val="20"/>
      </w:rPr>
    </w:pPr>
    <w:r>
      <w:rPr>
        <w:rFonts w:ascii="Arial" w:eastAsia="Arial" w:hAnsi="Arial" w:cs="Arial"/>
        <w:sz w:val="20"/>
        <w:szCs w:val="20"/>
      </w:rPr>
      <w:t>Framework Ref: RM6169 Corporate Finance Services 2</w:t>
    </w:r>
    <w:r>
      <w:rPr>
        <w:rFonts w:ascii="Arial" w:eastAsia="Arial" w:hAnsi="Arial" w:cs="Arial"/>
        <w:sz w:val="20"/>
        <w:szCs w:val="20"/>
      </w:rPr>
      <w:tab/>
      <w:t xml:space="preserve">                                           </w:t>
    </w:r>
  </w:p>
  <w:p w:rsidR="003450F4" w:rsidRDefault="00BE658D">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E7EE9">
      <w:rPr>
        <w:rFonts w:ascii="Arial" w:eastAsia="Arial" w:hAnsi="Arial" w:cs="Arial"/>
        <w:color w:val="000000"/>
        <w:sz w:val="20"/>
        <w:szCs w:val="20"/>
      </w:rPr>
      <w:fldChar w:fldCharType="separate"/>
    </w:r>
    <w:r w:rsidR="003E7EE9">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3450F4" w:rsidRDefault="00BE658D">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0F4" w:rsidRDefault="003450F4">
    <w:pPr>
      <w:widowControl/>
      <w:pBdr>
        <w:top w:val="nil"/>
        <w:left w:val="nil"/>
        <w:bottom w:val="nil"/>
        <w:right w:val="nil"/>
        <w:between w:val="nil"/>
      </w:pBdr>
      <w:tabs>
        <w:tab w:val="center" w:pos="4513"/>
        <w:tab w:val="right" w:pos="9026"/>
      </w:tabs>
      <w:jc w:val="both"/>
      <w:rPr>
        <w:color w:val="000000"/>
      </w:rPr>
    </w:pPr>
  </w:p>
  <w:p w:rsidR="003450F4" w:rsidRDefault="00BE658D">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3450F4" w:rsidRDefault="00BE658D">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3450F4" w:rsidRDefault="00BE658D">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58D" w:rsidRDefault="00BE658D">
      <w:r>
        <w:separator/>
      </w:r>
    </w:p>
  </w:footnote>
  <w:footnote w:type="continuationSeparator" w:id="0">
    <w:p w:rsidR="00BE658D" w:rsidRDefault="00BE6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0F4" w:rsidRDefault="00BE658D">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3450F4" w:rsidRDefault="00BE658D">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0F4" w:rsidRDefault="00BE658D">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3450F4" w:rsidRDefault="00BE658D">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3450F4" w:rsidRDefault="003450F4">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460B0"/>
    <w:multiLevelType w:val="multilevel"/>
    <w:tmpl w:val="1D00E0F4"/>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A8B7C1D"/>
    <w:multiLevelType w:val="multilevel"/>
    <w:tmpl w:val="8AEE4D56"/>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2" w15:restartNumberingAfterBreak="0">
    <w:nsid w:val="45E40720"/>
    <w:multiLevelType w:val="multilevel"/>
    <w:tmpl w:val="F65CA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91C0554"/>
    <w:multiLevelType w:val="multilevel"/>
    <w:tmpl w:val="4238BE04"/>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0F4"/>
    <w:rsid w:val="003450F4"/>
    <w:rsid w:val="003E7EE9"/>
    <w:rsid w:val="00BE65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EC7C52-A229-4BE8-B984-36BB0B998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u3YzM3LHVRRPTZOt/644DxzUKg==">AMUW2mUX9zFTPMYI+16ZRP6QBLR22poAwXWT1b3RYQXlu4mN80GiJOJGfStOW9A7bgtX8nOffqzKk1FoKQ2o5hGicoUCsVTaI+5b9QfSbSCgWD4YfPOWFhIozofJNSpte85VooKlJKI2yPiUutmoYB6xEg7XYu0spCyMu36Q3zIIpaRYgNdfFCU/b/hb1TlIJIqFjqBKjaIlqLLOd7NjrHaP8Tnzk6ti+kopPcqLtQnFdG2/mkiAy2YtDN9PR24+lm9OQjEkpEuHIOZNeqN9+5wj7icU51hxzXuHLNS5lwulb3n45Y3l2eAadwO6gFRZ8IKfpNBlMcFopR4orMSrJKdT9Mq0S0zT0eBUbJ+nAB/8FklLhQWaxc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2038</Words>
  <Characters>11620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Holt</cp:lastModifiedBy>
  <cp:revision>2</cp:revision>
  <dcterms:created xsi:type="dcterms:W3CDTF">2019-12-12T14:05:00Z</dcterms:created>
  <dcterms:modified xsi:type="dcterms:W3CDTF">2019-12-12T14:05:00Z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